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 P E C I F I K A C I J A   P R O I Z V O D A</w:t>
      </w:r>
    </w:p>
    <w:p>
      <w:pPr>
        <w:pStyle w:val="Normal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>KRUH I PEKARSKI PROIZVODI</w:t>
      </w:r>
      <w:r>
        <w:rPr/>
        <w:t xml:space="preserve"> </w:t>
      </w:r>
    </w:p>
    <w:p>
      <w:pPr>
        <w:pStyle w:val="Normal"/>
        <w:jc w:val="both"/>
        <w:rPr/>
      </w:pPr>
      <w:r>
        <w:rPr/>
        <w:t xml:space="preserve">Karakteristična senzorska svojstva (izgled, miris i okus, boja struktura i elastičnost): senzorska svojstva ovise o vrsti brašna i drugih sastojaka od kojega su kruh i pecivo izrađeni; </w:t>
      </w:r>
    </w:p>
    <w:p>
      <w:pPr>
        <w:pStyle w:val="Normal"/>
        <w:jc w:val="both"/>
        <w:rPr/>
      </w:pPr>
      <w:r>
        <w:rPr/>
        <w:t xml:space="preserve">- čista i neoštećena kora; </w:t>
      </w:r>
    </w:p>
    <w:p>
      <w:pPr>
        <w:pStyle w:val="Normal"/>
        <w:jc w:val="both"/>
        <w:rPr/>
      </w:pPr>
      <w:r>
        <w:rPr/>
        <w:t>Količina vode u sredini polubijelog pšeničnog kruha mora iznositi do 46%.</w:t>
      </w:r>
    </w:p>
    <w:p>
      <w:pPr>
        <w:pStyle w:val="Normal"/>
        <w:jc w:val="both"/>
        <w:rPr/>
      </w:pPr>
      <w:r>
        <w:rPr>
          <w:b/>
          <w:bCs/>
        </w:rPr>
        <w:t>Pšenični kruh polubijeli:</w:t>
      </w:r>
      <w:r>
        <w:rPr/>
        <w:t xml:space="preserve"> pšenično polubijelo brašno s udjelom pepela od 0,65 – 0,90%; </w:t>
      </w:r>
    </w:p>
    <w:p>
      <w:pPr>
        <w:pStyle w:val="Normal"/>
        <w:jc w:val="both"/>
        <w:rPr/>
      </w:pPr>
      <w:r>
        <w:rPr>
          <w:b/>
          <w:bCs/>
        </w:rPr>
        <w:t>Raženi miješani kruh</w:t>
      </w:r>
      <w:r>
        <w:rPr/>
        <w:t>: mora sadržavati više od 30% raženog brašna ili raženih pahuljica računato na ukupnu količinu brašna;</w:t>
      </w:r>
    </w:p>
    <w:p>
      <w:pPr>
        <w:pStyle w:val="Normal"/>
        <w:jc w:val="both"/>
        <w:rPr/>
      </w:pPr>
      <w:r>
        <w:rPr>
          <w:b/>
          <w:bCs/>
        </w:rPr>
        <w:t>Kukuruzni miješani kruh:</w:t>
      </w:r>
      <w:r>
        <w:rPr/>
        <w:t xml:space="preserve"> više od 20% kukuruznog brašna od ukupne količine brašna</w:t>
      </w:r>
    </w:p>
    <w:p>
      <w:pPr>
        <w:pStyle w:val="Normal"/>
        <w:jc w:val="both"/>
        <w:rPr/>
      </w:pPr>
      <w:r>
        <w:rPr>
          <w:b/>
          <w:bCs/>
        </w:rPr>
        <w:t>Kruh bez glutena</w:t>
      </w:r>
      <w:r>
        <w:rPr/>
        <w:t>: ne smije sadržavati količinu glutena višu od 100 mg/kg u gotovom proizvodu</w:t>
      </w:r>
    </w:p>
    <w:p>
      <w:pPr>
        <w:pStyle w:val="Normal"/>
        <w:jc w:val="both"/>
        <w:rPr/>
      </w:pPr>
      <w:r>
        <w:rPr>
          <w:b/>
          <w:bCs/>
        </w:rPr>
        <w:t>Kruh posebne vrste:</w:t>
      </w:r>
      <w:r>
        <w:rPr/>
        <w:t xml:space="preserve"> - kruh sa krumpirom 500g: mora sadržavati više od 4% krumpirovog brašna ili krumpirovih pahuljica ili 10% kuhanog očišćenog krumpira računato na ukupnu količinu brašna; </w:t>
      </w:r>
    </w:p>
    <w:p>
      <w:pPr>
        <w:pStyle w:val="Normal"/>
        <w:jc w:val="both"/>
        <w:rPr/>
      </w:pPr>
      <w:r>
        <w:rPr>
          <w:b/>
          <w:bCs/>
        </w:rPr>
        <w:t>Kruh sa sjemenkama uljarica 500g</w:t>
      </w:r>
      <w:r>
        <w:rPr/>
        <w:t>: mora sadržavati više od 5% sjemenki računato na ukupnu količinu brašna;</w:t>
      </w:r>
    </w:p>
    <w:p>
      <w:pPr>
        <w:pStyle w:val="Normal"/>
        <w:jc w:val="both"/>
        <w:rPr/>
      </w:pPr>
      <w:r>
        <w:rPr>
          <w:b/>
          <w:bCs/>
        </w:rPr>
        <w:t>Kruh sa bučinim sjemenkama 500g, kruh s fermentiranim mliječnim proizvodima 500g</w:t>
      </w:r>
      <w:r>
        <w:rPr/>
        <w:t xml:space="preserve"> (jogurt, kefir i dr.) kojem se u proizvodnji dodaje više od 10% fermentiranih mliječnih proizvoda računato na ukupnu količinu brašna; 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Drugi pekarski proizvodi:</w:t>
      </w:r>
    </w:p>
    <w:p>
      <w:pPr>
        <w:pStyle w:val="Normal"/>
        <w:rPr/>
      </w:pPr>
      <w:r>
        <w:rPr>
          <w:b/>
          <w:bCs/>
        </w:rPr>
        <w:t xml:space="preserve">- mlinci s jajima </w:t>
      </w:r>
      <w:r>
        <w:rPr/>
        <w:t>moraju sadržavati više od 20 grama jaja u prahu ili 80 grama jajnog melanža sa 75% vode računato na 1 kg brašna.</w:t>
      </w:r>
    </w:p>
    <w:p>
      <w:pPr>
        <w:pStyle w:val="Normal"/>
        <w:rPr/>
      </w:pPr>
      <w:r>
        <w:rPr>
          <w:b/>
          <w:bCs/>
        </w:rPr>
        <w:t xml:space="preserve">Burek </w:t>
      </w:r>
      <w:r>
        <w:rPr/>
        <w:t>je pekarski proizvod od brašna, masti i vode ili druge dopuštene tekućine s dodatkom najmanje 20% sira računato na ukupnu količinu brašna. Burek mora sadržavati najmanje 10% masti računato na gotov proizvod s 45% vode.</w:t>
      </w:r>
    </w:p>
    <w:p>
      <w:pPr>
        <w:pStyle w:val="Normal"/>
        <w:rPr/>
      </w:pPr>
      <w:r>
        <w:rPr>
          <w:b/>
          <w:bCs/>
        </w:rPr>
        <w:t xml:space="preserve">Krafne </w:t>
      </w:r>
      <w:r>
        <w:rPr/>
        <w:t>su proizvodi iz kvasnog tijesta dobivenog miješanjem pšeničnog brašna i drugih sastojaka isprženi na jestivoj biljnoj ili svinjskoj masnoći.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DEKLARACIJA</w:t>
      </w:r>
    </w:p>
    <w:p>
      <w:pPr>
        <w:pStyle w:val="Normal"/>
        <w:rPr/>
      </w:pPr>
      <w:r>
        <w:rPr/>
        <w:t>Uredba (EU) br. 1169/2011 o informiranju potrošača o hrani / Zakon o informiranju potrošača o hrani i (Narodne novine, br.56/2013i 14/2014;56/2016;32/2019 ).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DOKUMENTACIJA</w:t>
      </w:r>
    </w:p>
    <w:p>
      <w:pPr>
        <w:pStyle w:val="Normal"/>
        <w:jc w:val="both"/>
        <w:rPr/>
      </w:pPr>
      <w:r>
        <w:rPr/>
        <w:t>Ponuditelj obvezno mora dokazati da ima implementiran sustav za upravljanje sigurnošću hrane koji se koristi u prehrambenoj industriji (HACCP, ISO 22000:2005 ili neki drugi sustav koji koristi prehrambena industrija) te u tu svrhu mora dostaviti rješenje nadležnog ministarstva da ima in/tegriran sustav samokontrole koji uključuje odgovarajuću opremu i infrastrukturu objekata, održavanje higijene u objektima, odnosno sustav samokontrole temeljen na načelima HACCP-a kao i označavanje i sljedivost proizvoda, sukladno Zakonu o hrani, Zakonu o higijeni hrane i mikrobiološkim kriterijima za hranu i Pravilniku o pravilima uspostave sustava i postupaka temeljenih na načelima HACCP sustava.</w:t>
      </w:r>
    </w:p>
    <w:p>
      <w:pPr>
        <w:pStyle w:val="Normal"/>
        <w:jc w:val="both"/>
        <w:rPr/>
      </w:pPr>
      <w:r>
        <w:rPr/>
        <w:t>Zadnja dva mikrobiološka izvješća briseva od ZZJZ površina u proizvodnji.</w:t>
      </w:r>
    </w:p>
    <w:p>
      <w:pPr>
        <w:pStyle w:val="Normal"/>
        <w:jc w:val="both"/>
        <w:rPr/>
      </w:pPr>
      <w:r>
        <w:rPr/>
        <w:t>Gospodarski subjekt može dostaviti i jednakovrijednu potvrdu ovlaštene proizvoda tvrtke za certificiranje o uvedenom HACCP sustavu.</w:t>
      </w:r>
    </w:p>
    <w:p>
      <w:pPr>
        <w:pStyle w:val="Normal"/>
        <w:jc w:val="both"/>
        <w:rPr/>
      </w:pPr>
      <w:r>
        <w:rPr/>
        <w:t>Važeće rješenje/odobrenje/potvrda dostavlja se u presliku.</w:t>
      </w:r>
    </w:p>
    <w:p>
      <w:pPr>
        <w:pStyle w:val="Normal"/>
        <w:jc w:val="both"/>
        <w:rPr/>
      </w:pPr>
      <w:r>
        <w:rPr/>
        <w:t xml:space="preserve">Specifikacije za sve proizvode na hrvatskom jeziku. </w:t>
      </w:r>
    </w:p>
    <w:p>
      <w:pPr>
        <w:pStyle w:val="Normal"/>
        <w:jc w:val="both"/>
        <w:rPr/>
      </w:pPr>
      <w:r>
        <w:rPr/>
        <w:t>Sanitarna knjižica i položen tečaj o higijenskom minimumu, osobe koja manipulira sa hranom (vozač) prema Zakonu o zaštiti pučanstva od zaraznih bolesti (NN 79/07; 113/08; 43/09; 130/2017).</w:t>
      </w:r>
    </w:p>
    <w:p>
      <w:pPr>
        <w:pStyle w:val="Normal"/>
        <w:jc w:val="both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DINAMIKA ISPORUKE</w:t>
      </w:r>
    </w:p>
    <w:p>
      <w:pPr>
        <w:pStyle w:val="Normal"/>
        <w:rPr/>
      </w:pPr>
      <w:r>
        <w:rPr>
          <w:color w:val="FF0000"/>
        </w:rPr>
        <w:t xml:space="preserve"> </w:t>
      </w:r>
      <w:r>
        <w:rPr>
          <w:rFonts w:cs="Calibri" w:cstheme="minorHAnsi"/>
          <w:b/>
          <w:i/>
          <w:u w:val="single"/>
        </w:rPr>
        <w:t>Svaki radni dan dva puta dnevno (osim nedjelje i državnih blagdana).</w:t>
      </w:r>
    </w:p>
    <w:p>
      <w:pPr>
        <w:pStyle w:val="Normal"/>
        <w:rPr/>
      </w:pPr>
      <w:r>
        <w:rPr>
          <w:rFonts w:cs="Calibri" w:cstheme="minorHAnsi"/>
          <w:b/>
          <w:i/>
          <w:u w:val="single"/>
        </w:rPr>
        <w:t>Prva isporuka u 5:30, druga isporuka u 10:30.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PAKIRANJE I TRANSPORT</w:t>
      </w:r>
    </w:p>
    <w:p>
      <w:pPr>
        <w:pStyle w:val="Normal"/>
        <w:spacing w:before="0" w:after="0"/>
        <w:rPr/>
      </w:pPr>
      <w:r>
        <w:rPr/>
        <w:t>Namjenska poliolefin folija(perforirana), PVA polivinil acetat folije, PP vreće, PE vreće, PET folija, PEHD kutija i dr. dozvoljena kontaktna ambalaža.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rPr/>
      </w:pPr>
      <w:r>
        <w:rPr>
          <w:b/>
          <w:bCs/>
        </w:rPr>
        <w:t>Prijevozno sredstvo:</w:t>
      </w:r>
      <w:r>
        <w:rPr/>
        <w:t xml:space="preserve"> čistoća prijevoznog sredstva, opremljenost mjeračima temperature, robno susjedstvo proizvoda(nije dozvoljen transport drugih namirnica).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Dostava u čistoj, namjenskoj PVC ambalaži.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OSTALI ZAHTJEVI</w:t>
      </w:r>
    </w:p>
    <w:p>
      <w:pPr>
        <w:pStyle w:val="Normal"/>
        <w:rPr/>
      </w:pPr>
      <w:r>
        <w:rPr/>
        <w:t>Provedba eksternog audita primjene HACCP sustava od strane Naručitelja, prije prve isporuke.</w:t>
      </w:r>
    </w:p>
    <w:p>
      <w:pPr>
        <w:pStyle w:val="Normal"/>
        <w:rPr/>
      </w:pPr>
      <w:r>
        <w:rPr/>
        <w:t xml:space="preserve">U slučaju neisporučene naručene količine, Dobavljač se obvezuje naručenu količinu dostaviti sljedeći radni dan. </w:t>
      </w:r>
    </w:p>
    <w:p>
      <w:pPr>
        <w:pStyle w:val="Normal"/>
        <w:rPr/>
      </w:pPr>
      <w:r>
        <w:rPr/>
        <w:t xml:space="preserve">U slučaju promjena dana dostave(neradni dani i sl), Dobavljač se obvezuje pisanim putem obavijestiti Naručitelja o promjenama, minimalno tri(3) dana, uključujući subotu i nedjelju, prije nastupajućeg neradnog dana. </w:t>
      </w:r>
    </w:p>
    <w:p>
      <w:pPr>
        <w:pStyle w:val="Normal"/>
        <w:rPr/>
      </w:pPr>
      <w:r>
        <w:rPr/>
        <w:t xml:space="preserve">Dobavljač se obvezuje za potrebe Daruvarskih toplica koji dostavljaju kruh i pekarske proizvode “ za potrebe HV Doljani dostavljati kruh i pekarske proizvode  u narezanoj traženoj količini i peciva u zapakiranoj ambalaži. </w:t>
      </w:r>
    </w:p>
    <w:p>
      <w:pPr>
        <w:pStyle w:val="Normal"/>
        <w:rPr/>
      </w:pPr>
      <w:r>
        <w:rPr/>
        <w:t>Dobavljač se obvezuje za potrebe Daruvarskih toplica dostavljati kruh u narezanoj traženoj količini i zapakiranoj ambalaži a peciva u zapakiranoj ambalaži.</w:t>
      </w:r>
    </w:p>
    <w:p>
      <w:pPr>
        <w:pStyle w:val="Normal"/>
        <w:rPr/>
      </w:pPr>
      <w:r>
        <w:rPr/>
        <w:t xml:space="preserve">Dobavljač se obvezuje sljedeći radni dan preuzeti povrat kruha, koje mu Kupac predaje i od predane količine, izraditi krušne mrvice, koje dostavlja u zapakiranoj ambalaži, sa pripadajućom </w:t>
      </w:r>
      <w:r>
        <w:rPr>
          <w:b/>
          <w:bCs/>
        </w:rPr>
        <w:t>zakonski propisanom deklaracijom, bez naplate.</w:t>
      </w:r>
    </w:p>
    <w:p>
      <w:pPr>
        <w:pStyle w:val="Normal"/>
        <w:rPr/>
      </w:pPr>
      <w:r>
        <w:rPr/>
        <w:t xml:space="preserve"> </w:t>
      </w:r>
      <w:r>
        <w:rPr/>
        <w:t>U slučaju dva uzastopna pisana prigovora na kršenje odredbi kvalitete proizvoda i ostalih odredbi koji su sastavni dio Ugovora, Naručitelja zadržava pravo postupiti prema odredbama zaključenog Ugovora, u dijelu koji se odnosi na raskid Ugovora.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ZAVRŠNE NAPOMENE</w:t>
      </w:r>
    </w:p>
    <w:p>
      <w:pPr>
        <w:pStyle w:val="Normal"/>
        <w:rPr/>
      </w:pPr>
      <w:r>
        <w:rPr/>
        <w:t>Specifikacija je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postupanje.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cs="Calibri" w:cstheme="minorHAnsi"/>
        </w:rPr>
        <w:t xml:space="preserve">                                                                               </w:t>
      </w:r>
      <w:r>
        <w:rPr>
          <w:rFonts w:cs="Calibri" w:cstheme="minorHAnsi"/>
        </w:rPr>
        <w:t xml:space="preserve">Ovjera Ponuditelja </w:t>
      </w:r>
    </w:p>
    <w:p>
      <w:pPr>
        <w:pStyle w:val="Normal"/>
        <w:spacing w:before="0" w:after="160"/>
        <w:rPr/>
      </w:pPr>
      <w:hyperlink r:id="rId2" w:tgtFrame="_blank">
        <w:r>
          <w:rPr>
            <w:rStyle w:val="ListLabel1"/>
            <w:rFonts w:cs="Calibri" w:cstheme="minorHAnsi"/>
          </w:rPr>
          <w:t xml:space="preserve">                                                                               </w:t>
        </w:r>
      </w:hyperlink>
      <w:r>
        <w:rPr>
          <w:rFonts w:cs="Calibri" w:cstheme="minorHAnsi"/>
        </w:rPr>
        <w:t xml:space="preserve">________________________________________  </w:t>
      </w:r>
    </w:p>
    <w:sectPr>
      <w:headerReference w:type="default" r:id="rId3"/>
      <w:headerReference w:type="first" r:id="rId4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-873760</wp:posOffset>
          </wp:positionH>
          <wp:positionV relativeFrom="paragraph">
            <wp:posOffset>-440055</wp:posOffset>
          </wp:positionV>
          <wp:extent cx="7534275" cy="10655935"/>
          <wp:effectExtent l="0" t="0" r="0" b="0"/>
          <wp:wrapNone/>
          <wp:docPr id="1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white paper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-873125</wp:posOffset>
          </wp:positionH>
          <wp:positionV relativeFrom="paragraph">
            <wp:posOffset>-413385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e075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e075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e075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e075b"/>
    <w:rPr>
      <w:rFonts w:eastAsia="" w:cs="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e075b"/>
    <w:rPr>
      <w:rFonts w:eastAsia="" w:cs="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e075b"/>
    <w:rPr>
      <w:rFonts w:eastAsia="" w:cs="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e075b"/>
    <w:rPr>
      <w:rFonts w:eastAsia="" w:cs="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e075b"/>
    <w:rPr>
      <w:rFonts w:eastAsia="" w:cs="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e075b"/>
    <w:rPr>
      <w:rFonts w:eastAsia="" w:cs="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e075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e075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5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5b"/>
    <w:rPr/>
  </w:style>
  <w:style w:type="character" w:styleId="TekstbaloniaChar">
    <w:name w:val="Tekst balončića Char"/>
    <w:qFormat/>
    <w:rPr>
      <w:rFonts w:ascii="Segoe UI" w:hAnsi="Segoe UI" w:eastAsia="Segoe UI"/>
      <w:sz w:val="18"/>
      <w:szCs w:val="18"/>
      <w:lang w:eastAsia="en-US"/>
    </w:rPr>
  </w:style>
  <w:style w:type="character" w:styleId="Appleconvertedspace">
    <w:name w:val="apple-converted-space"/>
    <w:qFormat/>
    <w:rPr>
      <w:rFonts w:ascii="Times New Roman" w:hAnsi="Times New Roman" w:eastAsia="Times New Roman"/>
    </w:rPr>
  </w:style>
  <w:style w:type="character" w:styleId="Strong">
    <w:name w:val="Strong"/>
    <w:qFormat/>
    <w:rPr>
      <w:bCs/>
    </w:rPr>
  </w:style>
  <w:style w:type="character" w:styleId="PodnojeChar">
    <w:name w:val="Podnožje Char"/>
    <w:qFormat/>
    <w:rPr/>
  </w:style>
  <w:style w:type="character" w:styleId="ZaglavljeChar">
    <w:name w:val="Zaglavlje Char"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75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en-U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arodne-novine.nn.hr/clanci/sluzbeni/2014_02_14_276.html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LibreOffice/6.3.2.2$Windows_X86_64 LibreOffice_project/98b30e735bda24bc04ab42594c85f7fd8be07b9c</Application>
  <Pages>3</Pages>
  <Words>757</Words>
  <Characters>4598</Characters>
  <CharactersWithSpaces>5489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2024-03-26T14:52:40Z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